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5"/>
        <w:gridCol w:w="1012"/>
        <w:gridCol w:w="6043"/>
        <w:gridCol w:w="2085"/>
        <w:gridCol w:w="974"/>
        <w:gridCol w:w="1708"/>
        <w:gridCol w:w="1531"/>
      </w:tblGrid>
      <w:tr w:rsidR="00D643A1" w:rsidRPr="00270F6D" w:rsidTr="00691EA1">
        <w:trPr>
          <w:trHeight w:val="810"/>
          <w:tblHeader/>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主持人姓名</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项目名称</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项目编号</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立项时间</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下达单位</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bCs/>
                <w:color w:val="000000"/>
                <w:sz w:val="24"/>
                <w:szCs w:val="24"/>
              </w:rPr>
              <w:t>到账经费（万元）</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b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李艳艳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转录因子</w:t>
            </w:r>
            <w:r w:rsidRPr="00270F6D">
              <w:rPr>
                <w:rFonts w:ascii="Times New Roman" w:eastAsia="宋体" w:hAnsi="Times New Roman"/>
                <w:color w:val="000000"/>
                <w:sz w:val="24"/>
                <w:szCs w:val="24"/>
              </w:rPr>
              <w:t>TcLBD15</w:t>
            </w:r>
            <w:r w:rsidRPr="00270F6D">
              <w:rPr>
                <w:rFonts w:ascii="Times New Roman" w:eastAsia="宋体" w:hAnsi="Times New Roman"/>
                <w:color w:val="000000"/>
                <w:sz w:val="24"/>
                <w:szCs w:val="24"/>
              </w:rPr>
              <w:t>对红豆杉韧皮部分化、发育的调控机理研究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31700597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24</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bCs/>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程立平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黄土塬区深剖面土壤水分平衡和地下水补给对土地利用</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覆被变化的响应</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41771036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70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杨雨</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树和若干多环化合物分子图的子树数与</w:t>
            </w:r>
            <w:r w:rsidRPr="00270F6D">
              <w:rPr>
                <w:rFonts w:ascii="Times New Roman" w:eastAsia="宋体" w:hAnsi="Times New Roman"/>
                <w:color w:val="000000"/>
                <w:sz w:val="24"/>
                <w:szCs w:val="24"/>
              </w:rPr>
              <w:t>BC</w:t>
            </w:r>
            <w:r w:rsidRPr="00270F6D">
              <w:rPr>
                <w:rFonts w:ascii="Times New Roman" w:eastAsia="宋体" w:hAnsi="Times New Roman"/>
                <w:color w:val="000000"/>
                <w:sz w:val="24"/>
                <w:szCs w:val="24"/>
              </w:rPr>
              <w:t>子树数的广义计算及拓扑特性研究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61702291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25</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齐光</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生物和非生物因子对宝天曼落叶阔叶林植被碳库分布格局的影响</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41601057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bCs/>
                <w:color w:val="000000"/>
                <w:sz w:val="24"/>
                <w:szCs w:val="24"/>
              </w:rPr>
            </w:pPr>
            <w:r w:rsidRPr="00270F6D">
              <w:rPr>
                <w:rFonts w:ascii="Times New Roman" w:eastAsia="宋体" w:hAnsi="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程世平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杨树异源三倍体生长优势的代谢组机制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31600527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黄芳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基于贝叶斯最大熵的新型水质时空模拟模型研究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41601022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19</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李静婷</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小麦地方品种须须三月黄抗白粉病新基因</w:t>
            </w:r>
            <w:r w:rsidRPr="00270F6D">
              <w:rPr>
                <w:rFonts w:ascii="Times New Roman" w:eastAsia="宋体" w:hAnsi="Times New Roman"/>
                <w:color w:val="000000"/>
                <w:sz w:val="24"/>
                <w:szCs w:val="24"/>
              </w:rPr>
              <w:t>PmXX</w:t>
            </w:r>
            <w:r w:rsidRPr="00270F6D">
              <w:rPr>
                <w:rFonts w:ascii="Times New Roman" w:eastAsia="宋体" w:hAnsi="Times New Roman"/>
                <w:color w:val="000000"/>
                <w:sz w:val="24"/>
                <w:szCs w:val="24"/>
              </w:rPr>
              <w:t>的精细定位</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31501310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24</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宋海娜</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大豆磷酸转运蛋白基因</w:t>
            </w:r>
            <w:r w:rsidRPr="00270F6D">
              <w:rPr>
                <w:rFonts w:ascii="Times New Roman" w:eastAsia="宋体" w:hAnsi="Times New Roman"/>
                <w:color w:val="000000"/>
                <w:sz w:val="24"/>
                <w:szCs w:val="24"/>
              </w:rPr>
              <w:t>GmPT1</w:t>
            </w:r>
            <w:r w:rsidRPr="00270F6D">
              <w:rPr>
                <w:rFonts w:ascii="Times New Roman" w:eastAsia="宋体" w:hAnsi="Times New Roman"/>
                <w:color w:val="000000"/>
                <w:sz w:val="24"/>
                <w:szCs w:val="24"/>
              </w:rPr>
              <w:t>的调控机制及其育种价值的研究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31401463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21</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程立平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基于氢氧稳定同位素技术的黄土塬区深层土壤水对冬小麦生育耗水的贡献研究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41401015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26</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徐雨</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几种同域分布高山鸡形目鸟类的种群密度和生境分化研究</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以格西沟国家级保护区为例</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31301896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国家自然科学基金委</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周延彪</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基于植物茎叶的高效油水分离滤膜的研究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162300410208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河南省自然基金</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程世平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张良姜多倍体种质创新研究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182102110132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李彦娇</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黄淮麦区不同小麦种质材料抗极端气候能力评价</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182102110166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尹守恒</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特色蔬菜产业体系（韭菜品种改良）</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农业部专项</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70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李静婷</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MITE</w:t>
            </w:r>
            <w:r w:rsidRPr="00270F6D">
              <w:rPr>
                <w:rFonts w:ascii="Times New Roman" w:eastAsia="宋体" w:hAnsi="Times New Roman"/>
                <w:color w:val="000000"/>
                <w:sz w:val="24"/>
                <w:szCs w:val="24"/>
              </w:rPr>
              <w:t>转座子上调</w:t>
            </w:r>
            <w:r w:rsidRPr="00270F6D">
              <w:rPr>
                <w:rFonts w:ascii="Times New Roman" w:eastAsia="宋体" w:hAnsi="Times New Roman"/>
                <w:color w:val="000000"/>
                <w:sz w:val="24"/>
                <w:szCs w:val="24"/>
              </w:rPr>
              <w:t>sHSP16.9</w:t>
            </w:r>
            <w:r w:rsidRPr="00270F6D">
              <w:rPr>
                <w:rFonts w:ascii="Times New Roman" w:eastAsia="宋体" w:hAnsi="Times New Roman"/>
                <w:color w:val="000000"/>
                <w:sz w:val="24"/>
                <w:szCs w:val="24"/>
              </w:rPr>
              <w:t>基因表达创育耐热型转基因小麦</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172102110110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r>
      <w:tr w:rsidR="00D643A1" w:rsidRPr="00270F6D" w:rsidTr="00691EA1">
        <w:trPr>
          <w:trHeight w:val="546"/>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王健胜</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河南尧山特有野生杜鹃资源繁育与多倍体诱导技术研究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172102110111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陈明辉</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南蔗北引及在河南高效栽培技术研究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152102110007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15</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杨雨华</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文冠果栽培模式与测土平衡施肥研究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152102310203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赵干卿</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平顶山白龟湖国家湿地公园生物多样性保护与资源可持续利用研究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142102310186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王健胜</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苜蓿栽培品种</w:t>
            </w:r>
            <w:r w:rsidRPr="00270F6D">
              <w:rPr>
                <w:rFonts w:ascii="Times New Roman" w:eastAsia="宋体" w:hAnsi="Times New Roman"/>
                <w:color w:val="000000"/>
                <w:sz w:val="24"/>
                <w:szCs w:val="24"/>
              </w:rPr>
              <w:t>DNA</w:t>
            </w:r>
            <w:r w:rsidRPr="00270F6D">
              <w:rPr>
                <w:rFonts w:ascii="Times New Roman" w:eastAsia="宋体" w:hAnsi="Times New Roman"/>
                <w:color w:val="000000"/>
                <w:sz w:val="24"/>
                <w:szCs w:val="24"/>
              </w:rPr>
              <w:t>指纹图谱构建及遗传多样性研</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142102110171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齐光</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地形和物种多样性对宝天曼落叶阔叶林植被碳库格局的影响</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142106000090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刘沛松</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低山丘陵区</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林</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草</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牧</w:t>
            </w:r>
            <w:r w:rsidRPr="00270F6D">
              <w:rPr>
                <w:rFonts w:ascii="Times New Roman" w:eastAsia="宋体" w:hAnsi="Times New Roman"/>
                <w:color w:val="000000"/>
                <w:sz w:val="24"/>
                <w:szCs w:val="24"/>
              </w:rPr>
              <w:t>’</w:t>
            </w:r>
            <w:r w:rsidRPr="00270F6D">
              <w:rPr>
                <w:rFonts w:ascii="Times New Roman" w:eastAsia="宋体" w:hAnsi="Times New Roman"/>
                <w:color w:val="000000"/>
                <w:sz w:val="24"/>
                <w:szCs w:val="24"/>
              </w:rPr>
              <w:t>立体生态循环农业模式关键技术研究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132102110174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杨风岭</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中国中部伏牛山特有红豆杉生态适应性与繁育关键技术研究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sz w:val="24"/>
                <w:szCs w:val="24"/>
              </w:rPr>
              <w:t>122102310652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color w:val="000000"/>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彭舜磊</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河南省生态环境建设现状及存在的突出问题研究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sz w:val="24"/>
                <w:szCs w:val="24"/>
              </w:rPr>
              <w:t>2014041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sz w:val="24"/>
                <w:szCs w:val="24"/>
              </w:rPr>
            </w:pPr>
            <w:r w:rsidRPr="00270F6D">
              <w:rPr>
                <w:rFonts w:ascii="Times New Roman" w:eastAsia="宋体" w:hAnsi="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sz w:val="24"/>
                <w:szCs w:val="24"/>
              </w:rPr>
              <w:t>河南省政府决策招标办</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sz w:val="24"/>
                <w:szCs w:val="24"/>
              </w:rPr>
              <w:t>10</w:t>
            </w:r>
          </w:p>
        </w:tc>
      </w:tr>
      <w:tr w:rsidR="00D643A1" w:rsidRPr="00270F6D" w:rsidTr="00691EA1">
        <w:trPr>
          <w:trHeight w:val="443"/>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廖秉华</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使用生物多样性技术进行受损农业生态系统生态修复的研究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172102310242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贺国旭</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月季中抗氧化活性成分的综合开发应用研究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172102310210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lastRenderedPageBreak/>
              <w:t>27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彭舜磊</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白龟湖上游沙河流域面源污染特征与控制技术研究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162102310247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张志录</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特色灌木考来木引种、栽培与快繁技术研究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162102110070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尹守恒</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韭菜抗灰霉病分子标记辅助选择育种</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152102110006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10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程世平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不同</w:t>
            </w:r>
            <w:r w:rsidRPr="00270F6D">
              <w:rPr>
                <w:rFonts w:ascii="Times New Roman" w:eastAsia="宋体" w:hAnsi="Times New Roman"/>
                <w:color w:val="000000"/>
                <w:sz w:val="24"/>
                <w:szCs w:val="24"/>
              </w:rPr>
              <w:t>2n</w:t>
            </w:r>
            <w:r w:rsidRPr="00270F6D">
              <w:rPr>
                <w:rFonts w:ascii="Times New Roman" w:eastAsia="宋体" w:hAnsi="Times New Roman"/>
                <w:color w:val="000000"/>
                <w:sz w:val="24"/>
                <w:szCs w:val="24"/>
              </w:rPr>
              <w:t>配子来源的杨树三倍体代谢组差异</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20170632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国家重点实验室</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FF0000"/>
                <w:sz w:val="24"/>
                <w:szCs w:val="24"/>
              </w:rPr>
            </w:pPr>
            <w:r w:rsidRPr="00270F6D">
              <w:rPr>
                <w:rFonts w:ascii="Times New Roman" w:eastAsia="宋体" w:hAnsi="Times New Roman"/>
                <w:color w:val="000000"/>
                <w:sz w:val="24"/>
                <w:szCs w:val="24"/>
              </w:rPr>
              <w:t>3</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程世平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青杨三倍体杂种优势相关的代谢物差异研究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BSQD-2015009</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平顶山市科技局</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6</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廖秉华</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白龟山水库区湿地生态系统不同环境梯度下的植物多样性及其动态的研究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BSQD-2013003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河南省科技厅</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5</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程立平</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低山丘陵区不同土地利用方式土壤水分时空变异规律研究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PXY-BSQD-2014009</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平顶山市科技局</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5</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陈明辉</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珍稀药用植物金钗石斛的快速繁殖及仿野生栽培研究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PXY-BSQD-2014008</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平顶山市科技局</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5</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王健胜</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菠萝资源</w:t>
            </w:r>
            <w:r w:rsidRPr="00270F6D">
              <w:rPr>
                <w:rFonts w:ascii="Times New Roman" w:eastAsia="宋体" w:hAnsi="Times New Roman"/>
                <w:color w:val="000000"/>
                <w:sz w:val="24"/>
                <w:szCs w:val="24"/>
              </w:rPr>
              <w:t>DNA</w:t>
            </w:r>
            <w:r w:rsidRPr="00270F6D">
              <w:rPr>
                <w:rFonts w:ascii="Times New Roman" w:eastAsia="宋体" w:hAnsi="Times New Roman"/>
                <w:color w:val="000000"/>
                <w:sz w:val="24"/>
                <w:szCs w:val="24"/>
              </w:rPr>
              <w:t>指纹图谱构建及红皮菠萝果皮颜色遗传机制研究</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1630032013025</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中国农科院</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8</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D643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3</w:t>
            </w:r>
            <w:r>
              <w:rPr>
                <w:rFonts w:ascii="Times New Roman" w:eastAsia="宋体" w:hAnsi="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赵干卿</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低山丘陵区生态修复工程技术与应用实验室</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中央支持地方专项</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580</w:t>
            </w:r>
          </w:p>
        </w:tc>
      </w:tr>
      <w:tr w:rsidR="00D643A1" w:rsidRPr="00270F6D" w:rsidTr="00691EA1">
        <w:trPr>
          <w:trHeight w:val="510"/>
          <w:jc w:val="center"/>
        </w:trPr>
        <w:tc>
          <w:tcPr>
            <w:tcW w:w="0" w:type="auto"/>
            <w:tcBorders>
              <w:top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Pr>
                <w:rFonts w:ascii="Times New Roman" w:eastAsia="宋体" w:hAnsi="Times New Roman"/>
                <w:color w:val="000000"/>
                <w:sz w:val="24"/>
                <w:szCs w:val="24"/>
              </w:rPr>
              <w:t>37</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刘斐</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煤矿区土地复垦与生态立体循环农业实验基地</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2013</w:t>
            </w:r>
          </w:p>
        </w:tc>
        <w:tc>
          <w:tcPr>
            <w:tcW w:w="0" w:type="auto"/>
            <w:tcBorders>
              <w:top w:val="single" w:sz="4" w:space="0" w:color="auto"/>
              <w:left w:val="single" w:sz="4" w:space="0" w:color="auto"/>
              <w:bottom w:val="single" w:sz="4" w:space="0" w:color="auto"/>
              <w:right w:val="single" w:sz="4" w:space="0" w:color="auto"/>
            </w:tcBorders>
            <w:vAlign w:val="center"/>
          </w:tcPr>
          <w:p w:rsidR="00D643A1" w:rsidRPr="00270F6D" w:rsidRDefault="00D643A1" w:rsidP="00691EA1">
            <w:pPr>
              <w:adjustRightInd/>
              <w:snapToGrid w:val="0"/>
              <w:spacing w:before="0" w:after="0" w:line="280" w:lineRule="exact"/>
              <w:ind w:left="0" w:right="0"/>
              <w:jc w:val="left"/>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中央支持地方专项</w:t>
            </w:r>
          </w:p>
        </w:tc>
        <w:tc>
          <w:tcPr>
            <w:tcW w:w="0" w:type="auto"/>
            <w:tcBorders>
              <w:top w:val="single" w:sz="4" w:space="0" w:color="auto"/>
              <w:left w:val="single" w:sz="4" w:space="0" w:color="auto"/>
              <w:bottom w:val="single" w:sz="4" w:space="0" w:color="auto"/>
            </w:tcBorders>
            <w:vAlign w:val="center"/>
          </w:tcPr>
          <w:p w:rsidR="00D643A1" w:rsidRPr="00270F6D" w:rsidRDefault="00D643A1" w:rsidP="00691EA1">
            <w:pPr>
              <w:adjustRightInd/>
              <w:snapToGrid w:val="0"/>
              <w:spacing w:before="0" w:after="0" w:line="280" w:lineRule="exact"/>
              <w:ind w:left="0" w:right="0"/>
              <w:jc w:val="center"/>
              <w:textAlignment w:val="auto"/>
              <w:rPr>
                <w:rFonts w:ascii="Times New Roman" w:eastAsia="宋体" w:hAnsi="Times New Roman"/>
                <w:color w:val="000000"/>
                <w:sz w:val="24"/>
                <w:szCs w:val="24"/>
              </w:rPr>
            </w:pPr>
            <w:r w:rsidRPr="00270F6D">
              <w:rPr>
                <w:rFonts w:ascii="Times New Roman" w:eastAsia="宋体" w:hAnsi="Times New Roman"/>
                <w:color w:val="000000"/>
                <w:sz w:val="24"/>
                <w:szCs w:val="24"/>
              </w:rPr>
              <w:t>490</w:t>
            </w:r>
          </w:p>
        </w:tc>
      </w:tr>
    </w:tbl>
    <w:p w:rsidR="009229AC" w:rsidRPr="00D643A1" w:rsidRDefault="009229AC" w:rsidP="00D643A1">
      <w:pPr>
        <w:ind w:left="0"/>
        <w:rPr>
          <w:rFonts w:eastAsiaTheme="minorEastAsia" w:hint="eastAsia"/>
        </w:rPr>
      </w:pPr>
    </w:p>
    <w:sectPr w:rsidR="009229AC" w:rsidRPr="00D643A1" w:rsidSect="00D643A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A1"/>
    <w:rsid w:val="009229AC"/>
    <w:rsid w:val="00D6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F4E"/>
  <w15:chartTrackingRefBased/>
  <w15:docId w15:val="{761C9524-CA5D-403D-89D0-4A932116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A1"/>
    <w:pPr>
      <w:widowControl w:val="0"/>
      <w:adjustRightInd w:val="0"/>
      <w:spacing w:before="60" w:after="200" w:line="264" w:lineRule="auto"/>
      <w:ind w:left="113" w:right="28"/>
      <w:jc w:val="both"/>
      <w:textAlignment w:val="baseline"/>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2021-06-17T05:35:00Z</dcterms:created>
  <dcterms:modified xsi:type="dcterms:W3CDTF">2021-06-17T05:37:00Z</dcterms:modified>
</cp:coreProperties>
</file>